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376</w:t>
      </w:r>
    </w:p>
    <w:p>
      <w:r>
        <w:t>Bundesgericht (BGE), 1984-12-18, DE</w:t>
      </w:r>
    </w:p>
    <w:p>
      <w:r>
        <w:rPr>
          <w:b/>
        </w:rPr>
        <w:t xml:space="preserve">Quelle: </w:t>
      </w:r>
      <w:r>
        <w:t>https://mcp.opencaselaw.ch/entscheid/bge_110 V 376</w:t>
      </w:r>
    </w:p>
    <w:p>
      <w:r>
        <w:t>FR: ATF 110 V 376</w:t>
      </w:r>
    </w:p>
    <w:p>
      <w:r>
        <w:t>IT: DTF 110 V 376</w:t>
      </w:r>
    </w:p>
    <w:p>
      <w:pPr>
        <w:pStyle w:val="Heading2"/>
      </w:pPr>
      <w:r>
        <w:t>Regeste</w:t>
      </w:r>
    </w:p>
    <w:p>
      <w:r>
        <w:t>Regeste Art. 38bis IVG, 33bis IVV, 41 AHVG, 53bis AHVV. Art. 33bis Abs. 1 IVV (in der seit 1. Januar 1980 gültigen Fassung) widerspricht Art. 38bis Abs. 1 IVG, wonach eine Kürzung der Kinderrenten nur zu erfolgen hat, wenn sie zusammen mit den Renten des Vaters und der Mutter das für sie massgebende durchschnittliche Jahreseinkommen wesentlich übersteigen; diese Verordnungsbestimmung ist demnach gesetzwidrig. Dasselbe gilt für Art. 53bis Abs. 1 AHVV im Verhältnis zu Art. 41 Abs. 1 AHVG.</w:t>
      </w:r>
    </w:p>
    <w:p>
      <w:pPr>
        <w:pStyle w:val="Heading2"/>
      </w:pPr>
      <w:r>
        <w:t>Erwägungen</w:t>
      </w:r>
    </w:p>
    <w:p>
      <w:r>
        <w:rPr>
          <w:b/>
        </w:rPr>
        <w:t>E. 3</w:t>
      </w:r>
    </w:p>
    <w:p>
      <w:r>
        <w:t>Der Kürzungsbetrag ist auf die einzelnen Kinder- oder Waisenrenten zu verteilen.</w:t>
      </w:r>
    </w:p>
    <w:p>
      <w:r>
        <w:rPr>
          <w:b/>
        </w:rPr>
        <w:t>E. 4</w:t>
      </w:r>
    </w:p>
    <w:p>
      <w:r>
        <w:t>Nach dem Gesagten erweist sich Art. 33bis Abs. 1 IVV als gesetzwidrig, weshalb er auf den vorliegenden Fall nicht Anwendung finden kann. Dies bedeutet indessen nicht, dass von jeglicher Kürzung der Kinderrenten abzusehen wäre. Es rechtfertigt sich vielmehr, von der bis Ende 1979 gültig gewesenen Fassung des Art. 33bis Abs. 1 IVV auszugehen und der Kürzungsberechnung die entsprechenden Toleranzgrenzen von Fr. 1'200.-- bzw. Fr. 600.-- zugrundezulegen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